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00000545454543" w:lineRule="auto"/>
        <w:jc w:val="center"/>
        <w:rPr>
          <w:rFonts w:ascii="Arial" w:cs="Arial" w:eastAsia="Arial" w:hAnsi="Arial"/>
          <w:b w:val="1"/>
        </w:rPr>
      </w:pPr>
      <w:r w:rsidDel="00000000" w:rsidR="00000000" w:rsidRPr="00000000">
        <w:rPr>
          <w:rFonts w:ascii="Arial" w:cs="Arial" w:eastAsia="Arial" w:hAnsi="Arial"/>
          <w:b w:val="1"/>
          <w:rtl w:val="0"/>
        </w:rPr>
        <w:t xml:space="preserve">COMUNICATO STAMPA</w:t>
      </w:r>
    </w:p>
    <w:p w:rsidR="00000000" w:rsidDel="00000000" w:rsidP="00000000" w:rsidRDefault="00000000" w:rsidRPr="00000000" w14:paraId="00000003">
      <w:pPr>
        <w:spacing w:after="0" w:line="276.00000545454543"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spacing w:after="0" w:line="276.00000545454543"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Confconsumatori in campo dopo la sentenza</w:t>
      </w:r>
    </w:p>
    <w:p w:rsidR="00000000" w:rsidDel="00000000" w:rsidP="00000000" w:rsidRDefault="00000000" w:rsidRPr="00000000" w14:paraId="00000005">
      <w:pPr>
        <w:spacing w:after="0" w:line="276.00000545454543"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sulla manipolazione del tasso Euribor: possibili rimborsi</w:t>
      </w:r>
    </w:p>
    <w:p w:rsidR="00000000" w:rsidDel="00000000" w:rsidP="00000000" w:rsidRDefault="00000000" w:rsidRPr="00000000" w14:paraId="00000006">
      <w:pPr>
        <w:spacing w:after="0" w:before="240" w:line="276" w:lineRule="auto"/>
        <w:jc w:val="center"/>
        <w:rPr>
          <w:rFonts w:ascii="Arial" w:cs="Arial" w:eastAsia="Arial" w:hAnsi="Arial"/>
          <w:b w:val="1"/>
        </w:rPr>
      </w:pPr>
      <w:r w:rsidDel="00000000" w:rsidR="00000000" w:rsidRPr="00000000">
        <w:rPr>
          <w:rFonts w:ascii="Times New Roman" w:cs="Times New Roman" w:eastAsia="Times New Roman" w:hAnsi="Times New Roman"/>
          <w:b w:val="1"/>
          <w:sz w:val="28"/>
          <w:szCs w:val="28"/>
          <w:rtl w:val="0"/>
        </w:rPr>
        <w:t xml:space="preserve">«La partita non è ancora chiusa, invitiamo comunque alla prudenza»</w:t>
      </w: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pBdr>
          <w:bottom w:color="000000" w:space="0" w:sz="0" w:val="none"/>
        </w:pBdr>
        <w:spacing w:after="0" w:line="276" w:lineRule="auto"/>
        <w:rPr>
          <w:rFonts w:ascii="Arial Regular" w:cs="Arial Regular" w:eastAsia="Arial Regular" w:hAnsi="Arial Regular"/>
          <w:i w:val="1"/>
          <w:sz w:val="24"/>
          <w:szCs w:val="24"/>
        </w:rPr>
      </w:pPr>
      <w:r w:rsidDel="00000000" w:rsidR="00000000" w:rsidRPr="00000000">
        <w:rPr>
          <w:rtl w:val="0"/>
        </w:rPr>
      </w:r>
    </w:p>
    <w:p w:rsidR="00000000" w:rsidDel="00000000" w:rsidP="00000000" w:rsidRDefault="00000000" w:rsidRPr="00000000" w14:paraId="00000009">
      <w:pPr>
        <w:spacing w:after="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Parma, 12 febbraio 2024 – Chi ha</w:t>
      </w:r>
      <w:r w:rsidDel="00000000" w:rsidR="00000000" w:rsidRPr="00000000">
        <w:rPr>
          <w:rFonts w:ascii="Times New Roman" w:cs="Times New Roman" w:eastAsia="Times New Roman" w:hAnsi="Times New Roman"/>
          <w:b w:val="1"/>
          <w:i w:val="1"/>
          <w:sz w:val="24"/>
          <w:szCs w:val="24"/>
          <w:rtl w:val="0"/>
        </w:rPr>
        <w:t xml:space="preserve"> contratto un mutuo o un finanziamento a tasso variabile basato sull’Euribor tra il 29 settembre 2005 e il 30 maggio 2008 può avere diritto a un rimborso</w:t>
      </w:r>
      <w:r w:rsidDel="00000000" w:rsidR="00000000" w:rsidRPr="00000000">
        <w:rPr>
          <w:rFonts w:ascii="Times New Roman" w:cs="Times New Roman" w:eastAsia="Times New Roman" w:hAnsi="Times New Roman"/>
          <w:i w:val="1"/>
          <w:sz w:val="24"/>
          <w:szCs w:val="24"/>
          <w:rtl w:val="0"/>
        </w:rPr>
        <w:t xml:space="preserve">. L’Euribor (Tasso interbancario di offerta in euro) è un riferimento per i mercati finanziari, calcolato quotidianamente, che indica il tasso di interesse medio delle transazioni finanziarie in euro tra le principali banche europee. Un parametro spesso utilizzato come base per calcolare il tasso da utilizzare per un mutuo a tasso variabile. </w:t>
      </w:r>
    </w:p>
    <w:p w:rsidR="00000000" w:rsidDel="00000000" w:rsidP="00000000" w:rsidRDefault="00000000" w:rsidRPr="00000000" w14:paraId="0000000A">
      <w:pPr>
        <w:spacing w:after="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SENTENZA – La </w:t>
      </w:r>
      <w:r w:rsidDel="00000000" w:rsidR="00000000" w:rsidRPr="00000000">
        <w:rPr>
          <w:rFonts w:ascii="Times New Roman" w:cs="Times New Roman" w:eastAsia="Times New Roman" w:hAnsi="Times New Roman"/>
          <w:b w:val="1"/>
          <w:i w:val="1"/>
          <w:sz w:val="24"/>
          <w:szCs w:val="24"/>
          <w:rtl w:val="0"/>
        </w:rPr>
        <w:t xml:space="preserve">Corte di Cassazione</w:t>
      </w:r>
      <w:r w:rsidDel="00000000" w:rsidR="00000000" w:rsidRPr="00000000">
        <w:rPr>
          <w:rFonts w:ascii="Times New Roman" w:cs="Times New Roman" w:eastAsia="Times New Roman" w:hAnsi="Times New Roman"/>
          <w:i w:val="1"/>
          <w:sz w:val="24"/>
          <w:szCs w:val="24"/>
          <w:rtl w:val="0"/>
        </w:rPr>
        <w:t xml:space="preserve">, con l’ordinanza n. 34889 del 13 dicembre 2023, ha sancito il principio secondo cui «l’</w:t>
      </w:r>
      <w:r w:rsidDel="00000000" w:rsidR="00000000" w:rsidRPr="00000000">
        <w:rPr>
          <w:rFonts w:ascii="Times New Roman" w:cs="Times New Roman" w:eastAsia="Times New Roman" w:hAnsi="Times New Roman"/>
          <w:b w:val="1"/>
          <w:i w:val="1"/>
          <w:sz w:val="24"/>
          <w:szCs w:val="24"/>
          <w:rtl w:val="0"/>
        </w:rPr>
        <w:t xml:space="preserve">accordo manipolativo del tasso Euribor</w:t>
      </w:r>
      <w:r w:rsidDel="00000000" w:rsidR="00000000" w:rsidRPr="00000000">
        <w:rPr>
          <w:rFonts w:ascii="Times New Roman" w:cs="Times New Roman" w:eastAsia="Times New Roman" w:hAnsi="Times New Roman"/>
          <w:i w:val="1"/>
          <w:sz w:val="24"/>
          <w:szCs w:val="24"/>
          <w:rtl w:val="0"/>
        </w:rPr>
        <w:t xml:space="preserve"> accertato dalla Commissione europea con decisione del 4 dicembre 2013 produce la </w:t>
      </w:r>
      <w:r w:rsidDel="00000000" w:rsidR="00000000" w:rsidRPr="00000000">
        <w:rPr>
          <w:rFonts w:ascii="Times New Roman" w:cs="Times New Roman" w:eastAsia="Times New Roman" w:hAnsi="Times New Roman"/>
          <w:b w:val="1"/>
          <w:i w:val="1"/>
          <w:sz w:val="24"/>
          <w:szCs w:val="24"/>
          <w:rtl w:val="0"/>
        </w:rPr>
        <w:t xml:space="preserve">nullità dei contratti “a valle” che si richiamino per relationem al tasso manipolato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spacing w:after="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forza di questo principio </w:t>
      </w:r>
      <w:r w:rsidDel="00000000" w:rsidR="00000000" w:rsidRPr="00000000">
        <w:rPr>
          <w:rFonts w:ascii="Times New Roman" w:cs="Times New Roman" w:eastAsia="Times New Roman" w:hAnsi="Times New Roman"/>
          <w:b w:val="1"/>
          <w:i w:val="1"/>
          <w:sz w:val="24"/>
          <w:szCs w:val="24"/>
          <w:rtl w:val="0"/>
        </w:rPr>
        <w:t xml:space="preserve">i debitori che hanno contratto mutui o finanziamenti a tasso variabile basato sull’Euribor tra il 29 settembre 2005 e il 30 maggio 2008 possono avere diritto a un rimborso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Il rimborso non riguarda solamente le banche che hanno partecipato attivamente alla manipolazione dell’Euribor, ma si estende a tutti i mutui che hanno utilizzato questo indice come riferimento per il calcolo degli interessi</w:t>
      </w:r>
      <w:r w:rsidDel="00000000" w:rsidR="00000000" w:rsidRPr="00000000">
        <w:rPr>
          <w:rFonts w:ascii="Times New Roman" w:cs="Times New Roman" w:eastAsia="Times New Roman" w:hAnsi="Times New Roman"/>
          <w:i w:val="1"/>
          <w:sz w:val="24"/>
          <w:szCs w:val="24"/>
          <w:rtl w:val="0"/>
        </w:rPr>
        <w:t xml:space="preserve">. Il rimborso riguarda ovviamente le rate pagate nel periodo compreso tra il 29 settembre 2005 e il 30 maggio 2008 e con molta probabilità anche i mutui e finanziamenti accesi prima del 29 settembre 2005 (per le rate pagate nel periodo in oggetto). </w:t>
      </w:r>
    </w:p>
    <w:p w:rsidR="00000000" w:rsidDel="00000000" w:rsidP="00000000" w:rsidRDefault="00000000" w:rsidRPr="00000000" w14:paraId="0000000C">
      <w:pPr>
        <w:spacing w:after="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COME SI CALCOLA IL RIMBORSO DOVUTO? – </w:t>
      </w:r>
      <w:r w:rsidDel="00000000" w:rsidR="00000000" w:rsidRPr="00000000">
        <w:rPr>
          <w:rFonts w:ascii="Times New Roman" w:cs="Times New Roman" w:eastAsia="Times New Roman" w:hAnsi="Times New Roman"/>
          <w:b w:val="1"/>
          <w:i w:val="1"/>
          <w:sz w:val="24"/>
          <w:szCs w:val="24"/>
          <w:rtl w:val="0"/>
        </w:rPr>
        <w:t xml:space="preserve">Il risparmiatore ha diritto di richiedere la restituzione della differenza tra il tasso di interesse effettivamente applicato al suo mutuo e un tasso sostitutivo</w:t>
      </w:r>
      <w:r w:rsidDel="00000000" w:rsidR="00000000" w:rsidRPr="00000000">
        <w:rPr>
          <w:rFonts w:ascii="Times New Roman" w:cs="Times New Roman" w:eastAsia="Times New Roman" w:hAnsi="Times New Roman"/>
          <w:i w:val="1"/>
          <w:sz w:val="24"/>
          <w:szCs w:val="24"/>
          <w:rtl w:val="0"/>
        </w:rPr>
        <w:t xml:space="preserve">. La legge prevede che il calcolo sia effettuato in base all’articolo 117 del Testo unico bancario e al tasso dei Bot del periodo. Ad esempio, su un mutuo di 100.000 euro stipulato nel periodo interessato, il rimborso potrebbe ammontare a circa 5.000 euro.</w:t>
      </w:r>
    </w:p>
    <w:p w:rsidR="00000000" w:rsidDel="00000000" w:rsidP="00000000" w:rsidRDefault="00000000" w:rsidRPr="00000000" w14:paraId="0000000D">
      <w:pPr>
        <w:spacing w:after="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ATTENZIONE ALLA PRESCRIZIONE – </w:t>
      </w:r>
      <w:r w:rsidDel="00000000" w:rsidR="00000000" w:rsidRPr="00000000">
        <w:rPr>
          <w:rFonts w:ascii="Times New Roman" w:cs="Times New Roman" w:eastAsia="Times New Roman" w:hAnsi="Times New Roman"/>
          <w:b w:val="1"/>
          <w:i w:val="1"/>
          <w:sz w:val="24"/>
          <w:szCs w:val="24"/>
          <w:rtl w:val="0"/>
        </w:rPr>
        <w:t xml:space="preserve">La prescrizione è decennale e decorre dal pagamento dell’ultima rata di mutuo</w:t>
      </w:r>
      <w:r w:rsidDel="00000000" w:rsidR="00000000" w:rsidRPr="00000000">
        <w:rPr>
          <w:rFonts w:ascii="Times New Roman" w:cs="Times New Roman" w:eastAsia="Times New Roman" w:hAnsi="Times New Roman"/>
          <w:i w:val="1"/>
          <w:sz w:val="24"/>
          <w:szCs w:val="24"/>
          <w:rtl w:val="0"/>
        </w:rPr>
        <w:t xml:space="preserve">, per estinzione o per surroga. Se il mutuo è sempre in ammortamento (vita) non sussiste prescrizione; se è stato estinto o surrogato –ad esempio al 31 gennaio 2014 – è prescritto, salvo che non vi sia stata interruzione (tramite lettera raccomandata a.r. o pec): in tal caso la prescrizione decorre dalla data di interruzione.</w:t>
      </w:r>
    </w:p>
    <w:p w:rsidR="00000000" w:rsidDel="00000000" w:rsidP="00000000" w:rsidRDefault="00000000" w:rsidRPr="00000000" w14:paraId="0000000E">
      <w:pPr>
        <w:spacing w:after="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TUTELA – Il presidente nazionale di </w:t>
      </w:r>
      <w:r w:rsidDel="00000000" w:rsidR="00000000" w:rsidRPr="00000000">
        <w:rPr>
          <w:rFonts w:ascii="Times New Roman" w:cs="Times New Roman" w:eastAsia="Times New Roman" w:hAnsi="Times New Roman"/>
          <w:b w:val="1"/>
          <w:i w:val="1"/>
          <w:sz w:val="24"/>
          <w:szCs w:val="24"/>
          <w:rtl w:val="0"/>
        </w:rPr>
        <w:t xml:space="preserve">Confconsumatori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Marco Festelli</w:t>
      </w:r>
      <w:r w:rsidDel="00000000" w:rsidR="00000000" w:rsidRPr="00000000">
        <w:rPr>
          <w:rFonts w:ascii="Times New Roman" w:cs="Times New Roman" w:eastAsia="Times New Roman" w:hAnsi="Times New Roman"/>
          <w:i w:val="1"/>
          <w:sz w:val="24"/>
          <w:szCs w:val="24"/>
          <w:rtl w:val="0"/>
        </w:rPr>
        <w:t xml:space="preserve">, consiglia per il momento, ai cittadini interessati, di «interrompere la prescrizione e attendere che si consolidi una giurisprudenza anche circa la quantificazione del danno. La sentenza appartiene a una sezione semplice della Cassazione, quindi non è vincolante per i giudici di merito».</w:t>
      </w:r>
    </w:p>
    <w:p w:rsidR="00000000" w:rsidDel="00000000" w:rsidP="00000000" w:rsidRDefault="00000000" w:rsidRPr="00000000" w14:paraId="0000000F">
      <w:pPr>
        <w:spacing w:after="0"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Le sedi territoriali di Confconsumatori (tutti i contatti su https://www.confconsumatori.it/gli-sportelli-di-confconsumatori/) sono a disposizione per </w:t>
      </w:r>
      <w:r w:rsidDel="00000000" w:rsidR="00000000" w:rsidRPr="00000000">
        <w:rPr>
          <w:rFonts w:ascii="Times New Roman" w:cs="Times New Roman" w:eastAsia="Times New Roman" w:hAnsi="Times New Roman"/>
          <w:b w:val="1"/>
          <w:i w:val="1"/>
          <w:sz w:val="24"/>
          <w:szCs w:val="24"/>
          <w:rtl w:val="0"/>
        </w:rPr>
        <w:t xml:space="preserve">informazioni e assistenza</w:t>
      </w:r>
      <w:r w:rsidDel="00000000" w:rsidR="00000000" w:rsidRPr="00000000">
        <w:rPr>
          <w:rFonts w:ascii="Times New Roman" w:cs="Times New Roman" w:eastAsia="Times New Roman" w:hAnsi="Times New Roman"/>
          <w:i w:val="1"/>
          <w:sz w:val="24"/>
          <w:szCs w:val="24"/>
          <w:rtl w:val="0"/>
        </w:rPr>
        <w:t xml:space="preserve">, nonché a </w:t>
      </w:r>
      <w:r w:rsidDel="00000000" w:rsidR="00000000" w:rsidRPr="00000000">
        <w:rPr>
          <w:rFonts w:ascii="Times New Roman" w:cs="Times New Roman" w:eastAsia="Times New Roman" w:hAnsi="Times New Roman"/>
          <w:b w:val="1"/>
          <w:i w:val="1"/>
          <w:sz w:val="24"/>
          <w:szCs w:val="24"/>
          <w:rtl w:val="0"/>
        </w:rPr>
        <w:t xml:space="preserve">interrompere la prescrizione. </w:t>
      </w:r>
    </w:p>
    <w:p w:rsidR="00000000" w:rsidDel="00000000" w:rsidP="00000000" w:rsidRDefault="00000000" w:rsidRPr="00000000" w14:paraId="00000010">
      <w:pPr>
        <w:spacing w:after="0" w:before="240" w:line="240" w:lineRule="auto"/>
        <w:rPr>
          <w:rFonts w:ascii="Arial" w:cs="Arial" w:eastAsia="Arial" w:hAnsi="Arial"/>
          <w:i w:val="1"/>
          <w:sz w:val="24"/>
          <w:szCs w:val="24"/>
        </w:rPr>
      </w:pPr>
      <w:r w:rsidDel="00000000" w:rsidR="00000000" w:rsidRPr="00000000">
        <w:rPr>
          <w:rFonts w:ascii="Times New Roman" w:cs="Times New Roman" w:eastAsia="Times New Roman" w:hAnsi="Times New Roman"/>
          <w:i w:val="1"/>
          <w:sz w:val="24"/>
          <w:szCs w:val="24"/>
          <w:rtl w:val="0"/>
        </w:rPr>
        <w:t xml:space="preserve">È possibile anche rivolgersi allo </w:t>
      </w:r>
      <w:r w:rsidDel="00000000" w:rsidR="00000000" w:rsidRPr="00000000">
        <w:rPr>
          <w:rFonts w:ascii="Times New Roman" w:cs="Times New Roman" w:eastAsia="Times New Roman" w:hAnsi="Times New Roman"/>
          <w:b w:val="1"/>
          <w:i w:val="1"/>
          <w:sz w:val="24"/>
          <w:szCs w:val="24"/>
          <w:rtl w:val="0"/>
        </w:rPr>
        <w:t xml:space="preserve">sportello online</w:t>
      </w:r>
      <w:r w:rsidDel="00000000" w:rsidR="00000000" w:rsidRPr="00000000">
        <w:rPr>
          <w:rFonts w:ascii="Times New Roman" w:cs="Times New Roman" w:eastAsia="Times New Roman" w:hAnsi="Times New Roman"/>
          <w:i w:val="1"/>
          <w:sz w:val="24"/>
          <w:szCs w:val="24"/>
          <w:rtl w:val="0"/>
        </w:rPr>
        <w:t xml:space="preserve"> di Confconsumatori (https://confconsumatori.it/spiegaci-il-tuo-problema/) svolgendo così tutta l’attività a distanza. </w:t>
      </w:r>
      <w:r w:rsidDel="00000000" w:rsidR="00000000" w:rsidRPr="00000000">
        <w:rPr>
          <w:rtl w:val="0"/>
        </w:rPr>
      </w:r>
    </w:p>
    <w:p w:rsidR="00000000" w:rsidDel="00000000" w:rsidP="00000000" w:rsidRDefault="00000000" w:rsidRPr="00000000" w14:paraId="00000011">
      <w:pPr>
        <w:spacing w:after="0" w:line="276" w:lineRule="auto"/>
        <w:jc w:val="both"/>
        <w:rPr>
          <w:rFonts w:ascii="Arial" w:cs="Arial" w:eastAsia="Arial" w:hAnsi="Arial"/>
          <w:b w:val="1"/>
        </w:rPr>
      </w:pPr>
      <w:bookmarkStart w:colFirst="0" w:colLast="0" w:name="_heading=h.30j0zll"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2268" w:left="1134" w:right="1134"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535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CONFCONSUMATORI FEDERAZIONE LOMBARDIA APS</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AMICIS 17 20123 MILANO - CF: 97295970152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02.50030886 E-mail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lombardia@confconsumatori.it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confconsumatorilombardia.com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-167639</wp:posOffset>
          </wp:positionH>
          <wp:positionV relativeFrom="page">
            <wp:align>bottom</wp:align>
          </wp:positionV>
          <wp:extent cx="7617460" cy="1077468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7460" cy="1077468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39933"/>
        <w:sz w:val="26"/>
        <w:szCs w:val="26"/>
        <w:u w:val="none"/>
        <w:shd w:fill="auto" w:val="clear"/>
        <w:vertAlign w:val="baseline"/>
        <w:rtl w:val="0"/>
      </w:rPr>
      <w:t xml:space="preserve">FEDERAZIONE DI LOMBARDIA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\\\\\\\\\\\\\\\\\\SEDE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D95AA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95AA1"/>
  </w:style>
  <w:style w:type="paragraph" w:styleId="Pidipagina">
    <w:name w:val="footer"/>
    <w:basedOn w:val="Normale"/>
    <w:link w:val="PidipaginaCarattere"/>
    <w:uiPriority w:val="99"/>
    <w:unhideWhenUsed w:val="1"/>
    <w:rsid w:val="00D95AA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5AA1"/>
  </w:style>
  <w:style w:type="character" w:styleId="Collegamentoipertestuale">
    <w:name w:val="Hyperlink"/>
    <w:basedOn w:val="Carpredefinitoparagrafo"/>
    <w:uiPriority w:val="99"/>
    <w:unhideWhenUsed w:val="1"/>
    <w:rsid w:val="00D95AA1"/>
    <w:rPr>
      <w:color w:val="0563c1" w:themeColor="hyperlink"/>
      <w:u w:val="single"/>
    </w:rPr>
  </w:style>
  <w:style w:type="character" w:styleId="Menzionenonrisolta1" w:customStyle="1">
    <w:name w:val="Menzione non risolta1"/>
    <w:basedOn w:val="Carpredefinitoparagrafo"/>
    <w:uiPriority w:val="99"/>
    <w:semiHidden w:val="1"/>
    <w:unhideWhenUsed w:val="1"/>
    <w:rsid w:val="00D95AA1"/>
    <w:rPr>
      <w:color w:val="605e5c"/>
      <w:shd w:color="auto" w:fill="e1dfdd" w:val="clear"/>
    </w:rPr>
  </w:style>
  <w:style w:type="paragraph" w:styleId="Testofumetto">
    <w:name w:val="Balloon Text"/>
    <w:basedOn w:val="Normale"/>
    <w:link w:val="TestofumettoCarattere"/>
    <w:uiPriority w:val="99"/>
    <w:semiHidden w:val="1"/>
    <w:unhideWhenUsed w:val="1"/>
    <w:rsid w:val="00B6570D"/>
    <w:pPr>
      <w:spacing w:after="0" w:line="240" w:lineRule="auto"/>
    </w:pPr>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B6570D"/>
    <w:rPr>
      <w:rFonts w:ascii="Lucida Grande" w:cs="Lucida Grande" w:hAnsi="Lucida Grande"/>
      <w:sz w:val="18"/>
      <w:szCs w:val="18"/>
    </w:rPr>
  </w:style>
  <w:style w:type="character" w:styleId="Menzionenonrisolta">
    <w:name w:val="Unresolved Mention"/>
    <w:basedOn w:val="Carpredefinitoparagrafo"/>
    <w:uiPriority w:val="99"/>
    <w:semiHidden w:val="1"/>
    <w:unhideWhenUsed w:val="1"/>
    <w:rsid w:val="004A385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lombardia@confconsumato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4+3teIJICXh7ZSVg8R1Ei5A6yQ==">CgMxLjAyCWguMzBqMHpsbDgAciExMFZMQ0NqbDR3SncxNEJQUW5uX2hiLWpzM2Y3cTlDWks=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2023-05-03T13:08:00Z</dcterms:created>
  <dc:creator>Ufficio Stampa Confconsumatori</dc:creator>
</cp:coreProperties>
</file>