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F386" w14:textId="77777777" w:rsidR="00065577" w:rsidRDefault="00065577" w:rsidP="00065577">
      <w:pPr>
        <w:widowControl w:val="0"/>
        <w:autoSpaceDE w:val="0"/>
        <w:autoSpaceDN w:val="0"/>
        <w:adjustRightInd w:val="0"/>
        <w:spacing w:after="200" w:line="276" w:lineRule="auto"/>
        <w:ind w:left="7080" w:firstLine="708"/>
        <w:jc w:val="both"/>
        <w:rPr>
          <w:rFonts w:ascii="Calibri" w:hAnsi="Calibri" w:cs="Calibri"/>
          <w:lang w:val="it"/>
        </w:rPr>
      </w:pPr>
    </w:p>
    <w:p w14:paraId="1B43F34E" w14:textId="77777777" w:rsidR="00440A73" w:rsidRDefault="00440A73" w:rsidP="00440A73">
      <w:pPr>
        <w:jc w:val="center"/>
      </w:pPr>
      <w:r>
        <w:rPr>
          <w:b/>
        </w:rPr>
        <w:t>COMUNICATO STAMPA</w:t>
      </w:r>
    </w:p>
    <w:p w14:paraId="18D9C56A" w14:textId="77777777" w:rsidR="00440A73" w:rsidRDefault="00440A73" w:rsidP="00440A73">
      <w:pPr>
        <w:pStyle w:val="NormaleWeb"/>
        <w:ind w:firstLineChars="400" w:firstLine="883"/>
        <w:jc w:val="both"/>
      </w:pPr>
      <w:r>
        <w:rPr>
          <w:b/>
          <w:bCs/>
        </w:rPr>
        <w:t>Buoni fruttiferi postali senza l'indicazione della scadenza e della prescrizione,</w:t>
      </w:r>
    </w:p>
    <w:p w14:paraId="75773152" w14:textId="77777777" w:rsidR="00440A73" w:rsidRDefault="00440A73" w:rsidP="00440A73">
      <w:pPr>
        <w:pStyle w:val="NormaleWeb"/>
        <w:jc w:val="center"/>
      </w:pPr>
      <w:r>
        <w:rPr>
          <w:b/>
          <w:bCs/>
        </w:rPr>
        <w:t>Poste Italiane condannata a rimborsare 15mila euro</w:t>
      </w:r>
    </w:p>
    <w:p w14:paraId="78AC115E" w14:textId="77777777" w:rsidR="00440A73" w:rsidRDefault="00440A73" w:rsidP="00440A73">
      <w:pPr>
        <w:pStyle w:val="NormaleWeb"/>
        <w:jc w:val="center"/>
      </w:pPr>
    </w:p>
    <w:p w14:paraId="7C2349A4" w14:textId="77777777" w:rsidR="00440A73" w:rsidRDefault="00440A73" w:rsidP="00440A73">
      <w:pPr>
        <w:pStyle w:val="NormaleWeb"/>
        <w:jc w:val="center"/>
      </w:pPr>
      <w:r>
        <w:rPr>
          <w:b/>
          <w:bCs/>
        </w:rPr>
        <w:t>Il Tribunale di Monza si è pronunciato a favore di una famiglia</w:t>
      </w:r>
    </w:p>
    <w:p w14:paraId="70CD1A93" w14:textId="77777777" w:rsidR="00440A73" w:rsidRDefault="00440A73" w:rsidP="00440A73">
      <w:pPr>
        <w:pStyle w:val="NormaleWeb"/>
        <w:jc w:val="center"/>
      </w:pPr>
      <w:r>
        <w:rPr>
          <w:b/>
          <w:bCs/>
        </w:rPr>
        <w:t xml:space="preserve">che si era rivolta a Confconsumatori </w:t>
      </w:r>
    </w:p>
    <w:p w14:paraId="07817F4E" w14:textId="77777777" w:rsidR="00440A73" w:rsidRDefault="00440A73" w:rsidP="00440A73">
      <w:pPr>
        <w:pStyle w:val="NormaleWeb"/>
      </w:pPr>
      <w:r>
        <w:rPr>
          <w:i/>
          <w:iCs/>
        </w:rPr>
        <w:t xml:space="preserve">Monza, 9 giugno 2025 – </w:t>
      </w:r>
      <w:r>
        <w:t xml:space="preserve">Tra il 1999 e il 2001 avevano intestato ai tre figli sei </w:t>
      </w:r>
      <w:r>
        <w:rPr>
          <w:b/>
          <w:bCs/>
        </w:rPr>
        <w:t>Buoni fruttiferi postali</w:t>
      </w:r>
      <w:r>
        <w:t xml:space="preserve">, dei quali nel 2024 </w:t>
      </w:r>
      <w:r>
        <w:rPr>
          <w:b/>
          <w:bCs/>
        </w:rPr>
        <w:t>Poste italiane aveva rifiutato il rimborso sostenendo che il diritto fosse prescritto</w:t>
      </w:r>
      <w:r>
        <w:t xml:space="preserve">. Per questo – dopo essersi rivolti a Confconsumatori, con l'assistenza dell'avvocato Sabrina Contino – avevano intentato una causa civile contro Poste, chiedendo la restituzione dell'intero capitale nominale, circa 15mila euro, più gli interessi. E il Tribunale di Monza, con sentenza del 4 giugno 2025, ha </w:t>
      </w:r>
      <w:r>
        <w:rPr>
          <w:b/>
          <w:bCs/>
        </w:rPr>
        <w:t>accolto la domanda risarcitoria</w:t>
      </w:r>
      <w:r>
        <w:t xml:space="preserve">, condannando Poste Italiane al pagamento del </w:t>
      </w:r>
      <w:r>
        <w:rPr>
          <w:b/>
          <w:bCs/>
        </w:rPr>
        <w:t>capitale</w:t>
      </w:r>
      <w:r>
        <w:t xml:space="preserve"> sottoscritto maggiorato degli </w:t>
      </w:r>
      <w:r>
        <w:rPr>
          <w:b/>
          <w:bCs/>
        </w:rPr>
        <w:t>interessi</w:t>
      </w:r>
      <w:r>
        <w:t xml:space="preserve"> convenzionali e di mora.</w:t>
      </w:r>
    </w:p>
    <w:p w14:paraId="0DFD773B" w14:textId="77777777" w:rsidR="00440A73" w:rsidRDefault="00440A73" w:rsidP="00440A73">
      <w:pPr>
        <w:pStyle w:val="NormaleWeb"/>
      </w:pPr>
      <w:r>
        <w:t xml:space="preserve">IL CASO – La vicenda ha coinvolto una </w:t>
      </w:r>
      <w:r>
        <w:rPr>
          <w:b/>
          <w:bCs/>
        </w:rPr>
        <w:t>famiglia</w:t>
      </w:r>
      <w:r>
        <w:t xml:space="preserve"> composta da </w:t>
      </w:r>
      <w:r>
        <w:rPr>
          <w:b/>
          <w:bCs/>
        </w:rPr>
        <w:t>marito, moglie e tre figli, ai quali i genitori avevano cointestato due buoni l'uno</w:t>
      </w:r>
      <w:r>
        <w:t xml:space="preserve">. Erano convinti che i sei buoni – sottoscritti in due diverse occasioni, i primi tre il 2 agosto 1999 e gli altri tre il 24 dicembre 2001 – avessero durata ventennale, ma in realtà tre avevano la durata di 7 anni e altri tre avevano la durata di 11 anni. </w:t>
      </w:r>
      <w:r>
        <w:rPr>
          <w:b/>
          <w:bCs/>
        </w:rPr>
        <w:t>Poste Italiane però, all’atto della sottoscrizione, aveva omesso ogni informazione sulla serie di appartenenza dei buoni, sulla durata e sulla prescrizione</w:t>
      </w:r>
      <w:r>
        <w:t xml:space="preserve">. Sui 3 buoni sottoscritti nel 1999 Poste non aveva apposto il tagliando che indica la serie, i rendimenti e il periodo di prescrizione (come previsto dal Dm dell'8 ottobre del 1998, all’epoca vigente), mentre in occasione della sottoscrizione degli altri 3 buoni nel 2001 non aveva consegnato il foglio informativo con la descrizione delle caratteristiche degli investimenti, come prescritto dalla normativa vigente. </w:t>
      </w:r>
    </w:p>
    <w:p w14:paraId="4FD3C622" w14:textId="77777777" w:rsidR="00440A73" w:rsidRDefault="00440A73" w:rsidP="00440A73">
      <w:pPr>
        <w:pStyle w:val="NormaleWeb"/>
      </w:pPr>
      <w:r>
        <w:t xml:space="preserve">LA SENTENZA – Il Tribunale di Monza ha </w:t>
      </w:r>
      <w:r>
        <w:rPr>
          <w:b/>
          <w:bCs/>
        </w:rPr>
        <w:t>riconosciuto il diritto dei clienti al risarcimento danni in relazione alla violazione da parte di Poste Italiane dei doveri informativi cui era tenuta</w:t>
      </w:r>
      <w:r>
        <w:t xml:space="preserve">, necessari per rendere conoscibili ai clienti le condizioni dei buoni sottoscritti, tra cui la durata e la scadenza. Il Tribunale ha statuito che «gli </w:t>
      </w:r>
      <w:r>
        <w:rPr>
          <w:b/>
          <w:bCs/>
        </w:rPr>
        <w:t>obblighi di informazione</w:t>
      </w:r>
      <w:r>
        <w:t xml:space="preserve">, quale l’obbligo di apporre la scadenza sul buono ovvero di dare al risparmiatore informazioni precise al momento della sottoscrizione al fine di individuare la data di scadenza dei </w:t>
      </w:r>
      <w:proofErr w:type="spellStart"/>
      <w:r>
        <w:t>Bfp</w:t>
      </w:r>
      <w:proofErr w:type="spellEnd"/>
      <w:r>
        <w:t xml:space="preserve">, gravanti su Poste Italiane, costituiscono </w:t>
      </w:r>
      <w:r>
        <w:rPr>
          <w:b/>
          <w:bCs/>
        </w:rPr>
        <w:t>parte integrante del programma negoziale scaturente dalla sottoscrizione dei buoni</w:t>
      </w:r>
      <w:r>
        <w:t xml:space="preserve">. Per tale ragione, l’omessa indicazione della data di scadenza, come si evince dagli atti (per i buoni CB derivante dalla mancata apposizione del tagliando, mentre per quelli AA3 dalla mancata consegna del foglio informativo), costituisce un’ipotesi di </w:t>
      </w:r>
      <w:r>
        <w:rPr>
          <w:b/>
          <w:bCs/>
        </w:rPr>
        <w:t>inadempimento contrattuale giuridicamente rilevante</w:t>
      </w:r>
      <w:r>
        <w:t xml:space="preserve"> e imputabile a Poste Italiane».</w:t>
      </w:r>
    </w:p>
    <w:p w14:paraId="0A64ECEF" w14:textId="77777777" w:rsidR="00440A73" w:rsidRDefault="00440A73" w:rsidP="00440A73">
      <w:pPr>
        <w:pStyle w:val="NormaleWeb"/>
      </w:pPr>
      <w:r>
        <w:t xml:space="preserve">LA TUTELA – Per </w:t>
      </w:r>
      <w:r>
        <w:rPr>
          <w:b/>
          <w:bCs/>
        </w:rPr>
        <w:t>informazioni e assistenza</w:t>
      </w:r>
      <w:r>
        <w:t xml:space="preserve">, anche in materia di Buoni fruttiferi postali, è possibile contattare gli </w:t>
      </w:r>
      <w:r>
        <w:rPr>
          <w:b/>
          <w:bCs/>
        </w:rPr>
        <w:t>sportelli territoriali</w:t>
      </w:r>
      <w:r>
        <w:t xml:space="preserve"> di Confconsumatori (https://www.confconsumatori.it/gli-sportelli-di-confconsumatori/) o lo </w:t>
      </w:r>
      <w:r>
        <w:rPr>
          <w:b/>
          <w:bCs/>
        </w:rPr>
        <w:t>Sportello online</w:t>
      </w:r>
      <w:r>
        <w:t xml:space="preserve"> (https://www.confconsumatori.it/spiegaci-il-tuo-problema/). </w:t>
      </w:r>
    </w:p>
    <w:p w14:paraId="69495E93" w14:textId="77777777" w:rsidR="00AD1965" w:rsidRDefault="00AD1965" w:rsidP="00AD1965">
      <w:pPr>
        <w:spacing w:line="256" w:lineRule="auto"/>
        <w:rPr>
          <w:rFonts w:ascii="Calibri" w:eastAsia="Calibri" w:hAnsi="Calibri" w:cs="Times New Roman"/>
          <w:lang w:val="en-GB"/>
        </w:rPr>
      </w:pPr>
    </w:p>
    <w:p w14:paraId="752145B3" w14:textId="77777777" w:rsidR="00AD1965" w:rsidRPr="00AF7297" w:rsidRDefault="00AD1965" w:rsidP="00D96451">
      <w:pPr>
        <w:spacing w:line="256" w:lineRule="auto"/>
        <w:rPr>
          <w:rFonts w:ascii="Calibri" w:eastAsia="Calibri" w:hAnsi="Calibri" w:cs="Times New Roman"/>
          <w:lang w:val="en-GB"/>
        </w:rPr>
      </w:pPr>
    </w:p>
    <w:sectPr w:rsidR="00AD1965" w:rsidRPr="00AF7297" w:rsidSect="00D95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E027" w14:textId="77777777" w:rsidR="00D95AA1" w:rsidRDefault="00D95AA1" w:rsidP="00D95AA1">
      <w:pPr>
        <w:spacing w:after="0" w:line="240" w:lineRule="auto"/>
      </w:pPr>
      <w:r>
        <w:separator/>
      </w:r>
    </w:p>
  </w:endnote>
  <w:endnote w:type="continuationSeparator" w:id="0">
    <w:p w14:paraId="62E40145" w14:textId="77777777" w:rsidR="00D95AA1" w:rsidRDefault="00D95AA1" w:rsidP="00D9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B68F" w14:textId="77777777" w:rsidR="004A3858" w:rsidRDefault="004A38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1B45" w14:textId="75368096" w:rsidR="00D95AA1" w:rsidRPr="004A3858" w:rsidRDefault="00D95AA1" w:rsidP="004005BB">
    <w:pPr>
      <w:pStyle w:val="Pidipagina"/>
      <w:tabs>
        <w:tab w:val="clear" w:pos="9638"/>
        <w:tab w:val="left" w:pos="5352"/>
      </w:tabs>
      <w:rPr>
        <w:rFonts w:cstheme="minorHAnsi"/>
      </w:rPr>
    </w:pPr>
    <w:r w:rsidRPr="004A3858">
      <w:rPr>
        <w:rFonts w:cstheme="minorHAnsi"/>
      </w:rPr>
      <w:t xml:space="preserve">CONFCONSUMATORI </w:t>
    </w:r>
    <w:r w:rsidR="00927553" w:rsidRPr="004A3858">
      <w:rPr>
        <w:rFonts w:cstheme="minorHAnsi"/>
      </w:rPr>
      <w:t>FEDERAZIONE</w:t>
    </w:r>
    <w:r w:rsidRPr="004A3858">
      <w:rPr>
        <w:rFonts w:cstheme="minorHAnsi"/>
      </w:rPr>
      <w:t xml:space="preserve"> </w:t>
    </w:r>
    <w:r w:rsidR="004A3858" w:rsidRPr="004A3858">
      <w:rPr>
        <w:rFonts w:cstheme="minorHAnsi"/>
      </w:rPr>
      <w:t>LOMBARDIA APS</w:t>
    </w:r>
    <w:r w:rsidR="004005BB">
      <w:rPr>
        <w:rFonts w:cstheme="minorHAnsi"/>
      </w:rPr>
      <w:tab/>
    </w:r>
  </w:p>
  <w:p w14:paraId="7CE42304" w14:textId="5CA7C6CB" w:rsidR="00D95AA1" w:rsidRPr="004A3858" w:rsidRDefault="007E7A66">
    <w:pPr>
      <w:pStyle w:val="Pidipagina"/>
      <w:rPr>
        <w:rFonts w:cstheme="minorHAnsi"/>
      </w:rPr>
    </w:pPr>
    <w:r>
      <w:rPr>
        <w:rFonts w:cstheme="minorHAnsi"/>
      </w:rPr>
      <w:t xml:space="preserve">Sede legale: </w:t>
    </w:r>
    <w:r w:rsidR="00D95AA1" w:rsidRPr="004A3858">
      <w:rPr>
        <w:rFonts w:cstheme="minorHAnsi"/>
      </w:rPr>
      <w:t>V</w:t>
    </w:r>
    <w:r>
      <w:rPr>
        <w:rFonts w:cstheme="minorHAnsi"/>
      </w:rPr>
      <w:t xml:space="preserve">IA </w:t>
    </w:r>
    <w:r w:rsidR="004A3858" w:rsidRPr="004A3858">
      <w:rPr>
        <w:rFonts w:cstheme="minorHAnsi"/>
      </w:rPr>
      <w:t>DE AMICIS 17 20123 MILANO</w:t>
    </w:r>
    <w:r w:rsidR="00927553" w:rsidRPr="004A3858">
      <w:rPr>
        <w:rFonts w:cstheme="minorHAnsi"/>
      </w:rPr>
      <w:t xml:space="preserve"> </w:t>
    </w:r>
    <w:r>
      <w:rPr>
        <w:rFonts w:cstheme="minorHAnsi"/>
      </w:rPr>
      <w:t>Sede operativa: VIA PACE 10 - 20122</w:t>
    </w:r>
    <w:r w:rsidR="00927553" w:rsidRPr="004A3858">
      <w:rPr>
        <w:rFonts w:cstheme="minorHAnsi"/>
      </w:rPr>
      <w:t xml:space="preserve">- CF: </w:t>
    </w:r>
    <w:r w:rsidR="004A3858" w:rsidRPr="004A3858">
      <w:rPr>
        <w:rFonts w:cstheme="minorHAnsi"/>
      </w:rPr>
      <w:t>97295970152</w:t>
    </w:r>
  </w:p>
  <w:p w14:paraId="1F68BADC" w14:textId="00D2833D" w:rsidR="007847AC" w:rsidRPr="004A3858" w:rsidRDefault="00D95AA1">
    <w:pPr>
      <w:pStyle w:val="Pidipagina"/>
      <w:rPr>
        <w:rFonts w:cstheme="minorHAnsi"/>
      </w:rPr>
    </w:pPr>
    <w:r w:rsidRPr="004A3858">
      <w:rPr>
        <w:rFonts w:cstheme="minorHAnsi"/>
      </w:rPr>
      <w:t>Tel</w:t>
    </w:r>
    <w:r w:rsidR="002C6185" w:rsidRPr="004A3858">
      <w:rPr>
        <w:rFonts w:cstheme="minorHAnsi"/>
      </w:rPr>
      <w:t xml:space="preserve"> </w:t>
    </w:r>
    <w:r w:rsidR="004A3858" w:rsidRPr="004A3858">
      <w:rPr>
        <w:rFonts w:cstheme="minorHAnsi"/>
      </w:rPr>
      <w:t>02.50030886</w:t>
    </w:r>
    <w:r w:rsidRPr="004A3858">
      <w:rPr>
        <w:rFonts w:cstheme="minorHAnsi"/>
      </w:rPr>
      <w:t xml:space="preserve"> E-mail </w:t>
    </w:r>
    <w:hyperlink r:id="rId1" w:history="1">
      <w:r w:rsidR="004A3858" w:rsidRPr="004A3858">
        <w:rPr>
          <w:rStyle w:val="Collegamentoipertestuale"/>
          <w:rFonts w:cstheme="minorHAnsi"/>
        </w:rPr>
        <w:t>lombardia@confconsumatori.it</w:t>
      </w:r>
    </w:hyperlink>
    <w:r w:rsidR="004A3858" w:rsidRPr="004A3858">
      <w:rPr>
        <w:rFonts w:cstheme="minorHAnsi"/>
      </w:rPr>
      <w:t xml:space="preserve"> </w:t>
    </w:r>
    <w:r w:rsidR="003618EC" w:rsidRPr="004A3858">
      <w:rPr>
        <w:rFonts w:cstheme="minorHAnsi"/>
      </w:rPr>
      <w:t xml:space="preserve"> </w:t>
    </w:r>
    <w:r w:rsidR="007847AC" w:rsidRPr="004A3858">
      <w:rPr>
        <w:rFonts w:cstheme="minorHAnsi"/>
      </w:rPr>
      <w:t>Web</w:t>
    </w:r>
    <w:r w:rsidR="004A3858" w:rsidRPr="004A3858">
      <w:rPr>
        <w:rFonts w:cstheme="minorHAnsi"/>
      </w:rPr>
      <w:t xml:space="preserve">: </w:t>
    </w:r>
    <w:r w:rsidR="004A3858" w:rsidRPr="004A3858">
      <w:rPr>
        <w:rFonts w:cstheme="minorHAnsi"/>
        <w:color w:val="2F5496" w:themeColor="accent1" w:themeShade="BF"/>
      </w:rPr>
      <w:t>confconsumatorilombardia.com</w:t>
    </w:r>
    <w:r w:rsidR="007847AC" w:rsidRPr="004A3858">
      <w:rPr>
        <w:rFonts w:cstheme="minorHAnsi"/>
        <w:color w:val="2F5496" w:themeColor="accent1" w:themeShade="B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A918" w14:textId="77777777" w:rsidR="004A3858" w:rsidRDefault="004A3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F2441" w14:textId="77777777" w:rsidR="00D95AA1" w:rsidRDefault="00D95AA1" w:rsidP="00D95AA1">
      <w:pPr>
        <w:spacing w:after="0" w:line="240" w:lineRule="auto"/>
      </w:pPr>
      <w:r>
        <w:separator/>
      </w:r>
    </w:p>
  </w:footnote>
  <w:footnote w:type="continuationSeparator" w:id="0">
    <w:p w14:paraId="758A46D1" w14:textId="77777777" w:rsidR="00D95AA1" w:rsidRDefault="00D95AA1" w:rsidP="00D9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BFB1" w14:textId="77777777" w:rsidR="004A3858" w:rsidRDefault="004A38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39E3" w14:textId="3391D263" w:rsidR="00D95AA1" w:rsidRDefault="00B6570D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5551F1B6" wp14:editId="3C7B6C92">
          <wp:simplePos x="0" y="0"/>
          <wp:positionH relativeFrom="page">
            <wp:posOffset>-167640</wp:posOffset>
          </wp:positionH>
          <wp:positionV relativeFrom="page">
            <wp:align>bottom</wp:align>
          </wp:positionV>
          <wp:extent cx="7617460" cy="10774680"/>
          <wp:effectExtent l="0" t="0" r="254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fconsumatori_Carta_Intestata_Se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5BB">
      <w:rPr>
        <w:noProof/>
        <w:lang w:val="en-US"/>
      </w:rPr>
      <w:t>Spoe</w:t>
    </w:r>
  </w:p>
  <w:p w14:paraId="6271D9F9" w14:textId="44C41566" w:rsidR="00D95AA1" w:rsidRDefault="00D95AA1" w:rsidP="00B6570D">
    <w:pPr>
      <w:pStyle w:val="Intestazione"/>
      <w:jc w:val="center"/>
    </w:pPr>
  </w:p>
  <w:p w14:paraId="5CDE495B" w14:textId="77777777" w:rsidR="00B6570D" w:rsidRPr="00B6570D" w:rsidRDefault="00B6570D" w:rsidP="00B6570D">
    <w:pPr>
      <w:pStyle w:val="Intestazione"/>
      <w:jc w:val="center"/>
      <w:rPr>
        <w:sz w:val="16"/>
      </w:rPr>
    </w:pPr>
  </w:p>
  <w:p w14:paraId="3175D222" w14:textId="02277E0E" w:rsidR="00D95AA1" w:rsidRPr="00927553" w:rsidRDefault="001D776A">
    <w:pPr>
      <w:pStyle w:val="Intestazione"/>
      <w:rPr>
        <w:b/>
        <w:bCs/>
        <w:sz w:val="26"/>
        <w:szCs w:val="26"/>
      </w:rPr>
    </w:pPr>
    <w:r>
      <w:t xml:space="preserve">                               </w:t>
    </w:r>
    <w:r w:rsidR="00927553" w:rsidRPr="00927553">
      <w:rPr>
        <w:b/>
        <w:bCs/>
        <w:color w:val="339933"/>
        <w:sz w:val="26"/>
        <w:szCs w:val="26"/>
      </w:rPr>
      <w:t xml:space="preserve">FEDERAZIONE </w:t>
    </w:r>
    <w:r w:rsidR="004A3858">
      <w:rPr>
        <w:b/>
        <w:bCs/>
        <w:color w:val="339933"/>
        <w:sz w:val="26"/>
        <w:szCs w:val="26"/>
      </w:rPr>
      <w:t>DI LOMBARDIA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41EB" w14:textId="500701C1" w:rsidR="00D95AA1" w:rsidRDefault="00D95AA1">
    <w:pPr>
      <w:pStyle w:val="Intestazione"/>
    </w:pPr>
  </w:p>
  <w:p w14:paraId="37DB2C3F" w14:textId="6E3D2C46" w:rsidR="00D95AA1" w:rsidRDefault="00D95AA1">
    <w:pPr>
      <w:pStyle w:val="Intestazione"/>
    </w:pPr>
  </w:p>
  <w:p w14:paraId="3BD86CE5" w14:textId="679902BA" w:rsidR="00D95AA1" w:rsidRDefault="004A3858">
    <w:pPr>
      <w:pStyle w:val="Intestazione"/>
    </w:pPr>
    <w:hyperlink r:id="rId1" w:history="1">
      <w:r w:rsidRPr="00097C31">
        <w:rPr>
          <w:rStyle w:val="Collegamentoipertestuale"/>
        </w:rPr>
        <w:t>\\\\\\\\\\\\\\\\\\SEDE</w:t>
      </w:r>
    </w:hyperlink>
    <w:r w:rsidR="00D95AA1">
      <w:t xml:space="preserve"> DI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9D"/>
    <w:rsid w:val="00065577"/>
    <w:rsid w:val="00067F37"/>
    <w:rsid w:val="00115D92"/>
    <w:rsid w:val="00122495"/>
    <w:rsid w:val="0014434A"/>
    <w:rsid w:val="001970B6"/>
    <w:rsid w:val="001D776A"/>
    <w:rsid w:val="002269E6"/>
    <w:rsid w:val="002C6185"/>
    <w:rsid w:val="00313B2F"/>
    <w:rsid w:val="003618EC"/>
    <w:rsid w:val="003D290B"/>
    <w:rsid w:val="004005BB"/>
    <w:rsid w:val="00440A73"/>
    <w:rsid w:val="004A3858"/>
    <w:rsid w:val="004F4AD7"/>
    <w:rsid w:val="00502350"/>
    <w:rsid w:val="0051099C"/>
    <w:rsid w:val="00514E6C"/>
    <w:rsid w:val="0054658D"/>
    <w:rsid w:val="00591F99"/>
    <w:rsid w:val="00614AFA"/>
    <w:rsid w:val="00644A79"/>
    <w:rsid w:val="0066263E"/>
    <w:rsid w:val="00662DAD"/>
    <w:rsid w:val="0069759D"/>
    <w:rsid w:val="007847AC"/>
    <w:rsid w:val="007B0CAE"/>
    <w:rsid w:val="007E7A66"/>
    <w:rsid w:val="008D1697"/>
    <w:rsid w:val="0092148C"/>
    <w:rsid w:val="00927553"/>
    <w:rsid w:val="009863A6"/>
    <w:rsid w:val="00995A4A"/>
    <w:rsid w:val="009C0E14"/>
    <w:rsid w:val="009F0D95"/>
    <w:rsid w:val="00A0723B"/>
    <w:rsid w:val="00A10202"/>
    <w:rsid w:val="00A150A1"/>
    <w:rsid w:val="00A31870"/>
    <w:rsid w:val="00AD1965"/>
    <w:rsid w:val="00AF7297"/>
    <w:rsid w:val="00B6570D"/>
    <w:rsid w:val="00B77DCF"/>
    <w:rsid w:val="00B86D53"/>
    <w:rsid w:val="00BB2307"/>
    <w:rsid w:val="00D43560"/>
    <w:rsid w:val="00D95AA1"/>
    <w:rsid w:val="00D96451"/>
    <w:rsid w:val="00E80BB7"/>
    <w:rsid w:val="00E81157"/>
    <w:rsid w:val="00EC5DFE"/>
    <w:rsid w:val="00ED32A0"/>
    <w:rsid w:val="00EE4B56"/>
    <w:rsid w:val="00F076C9"/>
    <w:rsid w:val="00F25E71"/>
    <w:rsid w:val="00F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DC5098A"/>
  <w15:docId w15:val="{C9AF9193-3D4F-4DD8-8757-F40ACA67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97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AA1"/>
  </w:style>
  <w:style w:type="paragraph" w:styleId="Pidipagina">
    <w:name w:val="footer"/>
    <w:basedOn w:val="Normale"/>
    <w:link w:val="Pidipagina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AA1"/>
  </w:style>
  <w:style w:type="character" w:styleId="Collegamentoipertestuale">
    <w:name w:val="Hyperlink"/>
    <w:basedOn w:val="Carpredefinitoparagrafo"/>
    <w:uiPriority w:val="99"/>
    <w:unhideWhenUsed/>
    <w:rsid w:val="00D95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A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0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85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15D92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70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1970B6"/>
    <w:rPr>
      <w:i/>
      <w:iCs/>
    </w:rPr>
  </w:style>
  <w:style w:type="character" w:styleId="Enfasigrassetto">
    <w:name w:val="Strong"/>
    <w:basedOn w:val="Carpredefinitoparagrafo"/>
    <w:uiPriority w:val="22"/>
    <w:qFormat/>
    <w:rsid w:val="00197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mbardia@confconsumat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1.2\SE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C33A-C5AD-BC4B-8BFA-8204C777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Confconsumatori</dc:creator>
  <cp:keywords/>
  <dc:description/>
  <cp:lastModifiedBy>LombardiaMilano</cp:lastModifiedBy>
  <cp:revision>2</cp:revision>
  <cp:lastPrinted>2025-04-24T11:34:00Z</cp:lastPrinted>
  <dcterms:created xsi:type="dcterms:W3CDTF">2025-06-18T11:08:00Z</dcterms:created>
  <dcterms:modified xsi:type="dcterms:W3CDTF">2025-06-18T11:08:00Z</dcterms:modified>
</cp:coreProperties>
</file>